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D4" w:rsidRPr="00FC6DB4" w:rsidRDefault="008E4E99" w:rsidP="008E4E9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C6DB4">
        <w:rPr>
          <w:rFonts w:ascii="Arial" w:hAnsi="Arial" w:cs="Arial"/>
          <w:b/>
          <w:sz w:val="28"/>
          <w:szCs w:val="28"/>
          <w:lang w:val="en-US"/>
        </w:rPr>
        <w:t>Fan Coil Inlet Filters</w:t>
      </w:r>
    </w:p>
    <w:p w:rsidR="008E4E99" w:rsidRPr="00FC6DB4" w:rsidRDefault="008E4E99" w:rsidP="008E4E99">
      <w:pPr>
        <w:pStyle w:val="Header"/>
        <w:jc w:val="left"/>
        <w:rPr>
          <w:bCs/>
          <w:sz w:val="22"/>
          <w:szCs w:val="22"/>
        </w:rPr>
      </w:pPr>
      <w:r w:rsidRPr="00FC6DB4">
        <w:rPr>
          <w:bCs/>
          <w:sz w:val="22"/>
          <w:szCs w:val="22"/>
        </w:rPr>
        <w:t>This document is to improve the understanding of air inlet filters used in fan coils.</w:t>
      </w:r>
      <w:r w:rsidR="00090181" w:rsidRPr="00FC6DB4">
        <w:rPr>
          <w:bCs/>
          <w:sz w:val="22"/>
          <w:szCs w:val="22"/>
        </w:rPr>
        <w:t xml:space="preserve"> The primary function of </w:t>
      </w:r>
      <w:r w:rsidR="00793BE1" w:rsidRPr="00FC6DB4">
        <w:rPr>
          <w:bCs/>
          <w:sz w:val="22"/>
          <w:szCs w:val="22"/>
        </w:rPr>
        <w:t>an</w:t>
      </w:r>
      <w:r w:rsidR="00090181" w:rsidRPr="00FC6DB4">
        <w:rPr>
          <w:bCs/>
          <w:sz w:val="22"/>
          <w:szCs w:val="22"/>
        </w:rPr>
        <w:t xml:space="preserve"> inlet filter is to protect the fan and coil from the build up of dust and dirt which could potentially reduce the airflow through the unit.</w:t>
      </w:r>
    </w:p>
    <w:p w:rsidR="008E4E99" w:rsidRPr="00FC6DB4" w:rsidRDefault="008E4E99" w:rsidP="008E4E99">
      <w:pPr>
        <w:pStyle w:val="Header"/>
        <w:jc w:val="left"/>
        <w:rPr>
          <w:b/>
          <w:bCs/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b/>
          <w:bCs/>
          <w:sz w:val="22"/>
          <w:szCs w:val="22"/>
        </w:rPr>
      </w:pPr>
      <w:r w:rsidRPr="00FC6DB4">
        <w:rPr>
          <w:b/>
          <w:bCs/>
          <w:sz w:val="22"/>
          <w:szCs w:val="22"/>
        </w:rPr>
        <w:t>0.0       References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0.1          BS EN 779:2012 Particulate air filters for general ventilation. Determination of the filtration performance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0.2          BS EN ISO 16890-1:2016 Air filters for general ventilation. Technical specifications, requirements and classification system based upon particulate matter efficiency (</w:t>
      </w:r>
      <w:proofErr w:type="spellStart"/>
      <w:r w:rsidRPr="00FC6DB4">
        <w:rPr>
          <w:sz w:val="22"/>
          <w:szCs w:val="22"/>
        </w:rPr>
        <w:t>ePM</w:t>
      </w:r>
      <w:proofErr w:type="spellEnd"/>
      <w:r w:rsidRPr="00FC6DB4">
        <w:rPr>
          <w:sz w:val="22"/>
          <w:szCs w:val="22"/>
        </w:rPr>
        <w:t>)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b/>
          <w:bCs/>
          <w:sz w:val="22"/>
          <w:szCs w:val="22"/>
        </w:rPr>
      </w:pPr>
      <w:r w:rsidRPr="00FC6DB4">
        <w:rPr>
          <w:b/>
          <w:bCs/>
          <w:sz w:val="22"/>
          <w:szCs w:val="22"/>
        </w:rPr>
        <w:t>1.0       Introduction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1.1         </w:t>
      </w:r>
      <w:r w:rsidR="00793BE1" w:rsidRPr="00FC6DB4">
        <w:rPr>
          <w:sz w:val="22"/>
          <w:szCs w:val="22"/>
        </w:rPr>
        <w:t>BS EN</w:t>
      </w:r>
      <w:r w:rsidRPr="00FC6DB4">
        <w:rPr>
          <w:sz w:val="22"/>
          <w:szCs w:val="22"/>
        </w:rPr>
        <w:t xml:space="preserve"> ISO 16890 is a new standard for classifying air filters and has replaced BS EN 779:2012</w:t>
      </w:r>
      <w:r w:rsidR="00793BE1" w:rsidRPr="00FC6DB4">
        <w:rPr>
          <w:sz w:val="22"/>
          <w:szCs w:val="22"/>
        </w:rPr>
        <w:t xml:space="preserve"> which has been withdrawn</w:t>
      </w:r>
      <w:r w:rsidRPr="00FC6DB4">
        <w:rPr>
          <w:sz w:val="22"/>
          <w:szCs w:val="22"/>
        </w:rPr>
        <w:t>.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 xml:space="preserve">1.2          The ‘old’ standard BS EN 779 uses </w:t>
      </w:r>
      <w:r w:rsidR="00793BE1" w:rsidRPr="00FC6DB4">
        <w:rPr>
          <w:sz w:val="22"/>
          <w:szCs w:val="22"/>
        </w:rPr>
        <w:t>a</w:t>
      </w:r>
      <w:r w:rsidRPr="00FC6DB4">
        <w:rPr>
          <w:sz w:val="22"/>
          <w:szCs w:val="22"/>
        </w:rPr>
        <w:t xml:space="preserve"> classification system for air </w:t>
      </w:r>
      <w:r w:rsidR="0035136B" w:rsidRPr="00FC6DB4">
        <w:rPr>
          <w:sz w:val="22"/>
          <w:szCs w:val="22"/>
        </w:rPr>
        <w:t>filters: -</w:t>
      </w:r>
      <w:r w:rsidRPr="00FC6DB4">
        <w:rPr>
          <w:sz w:val="22"/>
          <w:szCs w:val="22"/>
        </w:rPr>
        <w:t xml:space="preserve"> G2, G3 etc, up to F9</w:t>
      </w:r>
      <w:r w:rsidR="00090181" w:rsidRPr="00FC6DB4">
        <w:rPr>
          <w:sz w:val="22"/>
          <w:szCs w:val="22"/>
        </w:rPr>
        <w:t>.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 xml:space="preserve">1.3          BS EN ISO 16890 has four parts; part 1 (BS EN ISO 16890-1:2016) covers performance testing and </w:t>
      </w:r>
      <w:r w:rsidR="00793BE1" w:rsidRPr="00FC6DB4">
        <w:rPr>
          <w:sz w:val="22"/>
          <w:szCs w:val="22"/>
        </w:rPr>
        <w:t xml:space="preserve">has a new </w:t>
      </w:r>
      <w:r w:rsidRPr="00FC6DB4">
        <w:rPr>
          <w:sz w:val="22"/>
          <w:szCs w:val="22"/>
        </w:rPr>
        <w:t>classification for removing particulates.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b/>
          <w:bCs/>
          <w:sz w:val="22"/>
          <w:szCs w:val="22"/>
        </w:rPr>
      </w:pPr>
      <w:r w:rsidRPr="00FC6DB4">
        <w:rPr>
          <w:b/>
          <w:bCs/>
          <w:sz w:val="22"/>
          <w:szCs w:val="22"/>
        </w:rPr>
        <w:t>2.0       BS EN ISO 16890-1: 2016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2.1          There are four ranges of particle size, based on optical or aerodynamic diameter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PM</w:t>
      </w:r>
      <w:r w:rsidRPr="00FC6DB4">
        <w:rPr>
          <w:sz w:val="22"/>
          <w:szCs w:val="22"/>
          <w:vertAlign w:val="subscript"/>
        </w:rPr>
        <w:t>10</w:t>
      </w:r>
      <w:r w:rsidRPr="00FC6DB4">
        <w:rPr>
          <w:sz w:val="22"/>
          <w:szCs w:val="22"/>
        </w:rPr>
        <w:t xml:space="preserve"> for particles between 0.3</w:t>
      </w:r>
      <w:r w:rsidR="003B0A2B">
        <w:rPr>
          <w:sz w:val="22"/>
          <w:szCs w:val="22"/>
        </w:rPr>
        <w:t xml:space="preserve"> ≤ x ≤ 1</w:t>
      </w:r>
      <w:r w:rsidRPr="00FC6DB4">
        <w:rPr>
          <w:sz w:val="22"/>
          <w:szCs w:val="22"/>
        </w:rPr>
        <w:t>0</w:t>
      </w:r>
      <w:r w:rsidR="003B0A2B">
        <w:rPr>
          <w:sz w:val="22"/>
          <w:szCs w:val="22"/>
        </w:rPr>
        <w:t xml:space="preserve"> μ</w:t>
      </w:r>
      <w:r w:rsidRPr="00FC6DB4">
        <w:rPr>
          <w:sz w:val="22"/>
          <w:szCs w:val="22"/>
        </w:rPr>
        <w:t>m (e.g</w:t>
      </w:r>
      <w:r w:rsidR="003B0A2B">
        <w:rPr>
          <w:sz w:val="22"/>
          <w:szCs w:val="22"/>
        </w:rPr>
        <w:t>.</w:t>
      </w:r>
      <w:r w:rsidRPr="00FC6DB4">
        <w:rPr>
          <w:sz w:val="22"/>
          <w:szCs w:val="22"/>
        </w:rPr>
        <w:t xml:space="preserve"> pollen, desert dust)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PM</w:t>
      </w:r>
      <w:r w:rsidRPr="00FC6DB4">
        <w:rPr>
          <w:sz w:val="22"/>
          <w:szCs w:val="22"/>
          <w:vertAlign w:val="subscript"/>
        </w:rPr>
        <w:t>2.5</w:t>
      </w:r>
      <w:r w:rsidRPr="00FC6DB4">
        <w:rPr>
          <w:sz w:val="22"/>
          <w:szCs w:val="22"/>
        </w:rPr>
        <w:t xml:space="preserve"> for particles between </w:t>
      </w:r>
      <w:r w:rsidR="003B0A2B" w:rsidRPr="00FC6DB4">
        <w:rPr>
          <w:sz w:val="22"/>
          <w:szCs w:val="22"/>
        </w:rPr>
        <w:t>0.3</w:t>
      </w:r>
      <w:r w:rsidR="003B0A2B">
        <w:rPr>
          <w:sz w:val="22"/>
          <w:szCs w:val="22"/>
        </w:rPr>
        <w:t xml:space="preserve"> ≤ x ≤ </w:t>
      </w:r>
      <w:r w:rsidR="003B0A2B">
        <w:rPr>
          <w:sz w:val="22"/>
          <w:szCs w:val="22"/>
        </w:rPr>
        <w:t>2.5</w:t>
      </w:r>
      <w:r w:rsidR="003B0A2B">
        <w:rPr>
          <w:sz w:val="22"/>
          <w:szCs w:val="22"/>
        </w:rPr>
        <w:t xml:space="preserve"> μ</w:t>
      </w:r>
      <w:r w:rsidR="003B0A2B" w:rsidRPr="00FC6DB4">
        <w:rPr>
          <w:sz w:val="22"/>
          <w:szCs w:val="22"/>
        </w:rPr>
        <w:t>m</w:t>
      </w:r>
      <w:r w:rsidR="003B0A2B" w:rsidRPr="00FC6DB4">
        <w:rPr>
          <w:sz w:val="22"/>
          <w:szCs w:val="22"/>
        </w:rPr>
        <w:t xml:space="preserve"> </w:t>
      </w:r>
      <w:r w:rsidRPr="00FC6DB4">
        <w:rPr>
          <w:sz w:val="22"/>
          <w:szCs w:val="22"/>
        </w:rPr>
        <w:t>(e.g</w:t>
      </w:r>
      <w:r w:rsidR="003B0A2B">
        <w:rPr>
          <w:sz w:val="22"/>
          <w:szCs w:val="22"/>
        </w:rPr>
        <w:t>.</w:t>
      </w:r>
      <w:r w:rsidRPr="00FC6DB4">
        <w:rPr>
          <w:sz w:val="22"/>
          <w:szCs w:val="22"/>
        </w:rPr>
        <w:t xml:space="preserve"> bacteria, spores, toner dust)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PM</w:t>
      </w:r>
      <w:r w:rsidRPr="00FC6DB4">
        <w:rPr>
          <w:sz w:val="22"/>
          <w:szCs w:val="22"/>
          <w:vertAlign w:val="subscript"/>
        </w:rPr>
        <w:t>1</w:t>
      </w:r>
      <w:r w:rsidRPr="00FC6DB4">
        <w:rPr>
          <w:sz w:val="22"/>
          <w:szCs w:val="22"/>
        </w:rPr>
        <w:t xml:space="preserve"> for particles between </w:t>
      </w:r>
      <w:r w:rsidR="003B0A2B" w:rsidRPr="00FC6DB4">
        <w:rPr>
          <w:sz w:val="22"/>
          <w:szCs w:val="22"/>
        </w:rPr>
        <w:t>0.3</w:t>
      </w:r>
      <w:r w:rsidR="003B0A2B">
        <w:rPr>
          <w:sz w:val="22"/>
          <w:szCs w:val="22"/>
        </w:rPr>
        <w:t xml:space="preserve"> ≤ x ≤ 1</w:t>
      </w:r>
      <w:r w:rsidR="005549FF">
        <w:rPr>
          <w:sz w:val="22"/>
          <w:szCs w:val="22"/>
        </w:rPr>
        <w:t>.0</w:t>
      </w:r>
      <w:r w:rsidR="003B0A2B">
        <w:rPr>
          <w:sz w:val="22"/>
          <w:szCs w:val="22"/>
        </w:rPr>
        <w:t xml:space="preserve"> μ</w:t>
      </w:r>
      <w:r w:rsidR="003B0A2B" w:rsidRPr="00FC6DB4">
        <w:rPr>
          <w:sz w:val="22"/>
          <w:szCs w:val="22"/>
        </w:rPr>
        <w:t>m</w:t>
      </w:r>
      <w:r w:rsidR="003B0A2B" w:rsidRPr="00FC6DB4">
        <w:rPr>
          <w:sz w:val="22"/>
          <w:szCs w:val="22"/>
        </w:rPr>
        <w:t xml:space="preserve"> </w:t>
      </w:r>
      <w:r w:rsidRPr="00FC6DB4">
        <w:rPr>
          <w:sz w:val="22"/>
          <w:szCs w:val="22"/>
        </w:rPr>
        <w:t>(e.g</w:t>
      </w:r>
      <w:r w:rsidR="003B0A2B">
        <w:rPr>
          <w:sz w:val="22"/>
          <w:szCs w:val="22"/>
        </w:rPr>
        <w:t>.</w:t>
      </w:r>
      <w:r w:rsidRPr="00FC6DB4">
        <w:rPr>
          <w:sz w:val="22"/>
          <w:szCs w:val="22"/>
        </w:rPr>
        <w:t xml:space="preserve"> viruses, exhaust </w:t>
      </w:r>
      <w:proofErr w:type="gramStart"/>
      <w:r w:rsidRPr="00FC6DB4">
        <w:rPr>
          <w:sz w:val="22"/>
          <w:szCs w:val="22"/>
        </w:rPr>
        <w:t xml:space="preserve">particulates, </w:t>
      </w:r>
      <w:r w:rsidR="0035136B">
        <w:rPr>
          <w:sz w:val="22"/>
          <w:szCs w:val="22"/>
        </w:rPr>
        <w:t xml:space="preserve">  </w:t>
      </w:r>
      <w:proofErr w:type="gramEnd"/>
      <w:r w:rsidR="0035136B">
        <w:rPr>
          <w:sz w:val="22"/>
          <w:szCs w:val="22"/>
        </w:rPr>
        <w:t xml:space="preserve">      </w:t>
      </w:r>
      <w:r w:rsidRPr="00FC6DB4">
        <w:rPr>
          <w:sz w:val="22"/>
          <w:szCs w:val="22"/>
        </w:rPr>
        <w:t>soot)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2.2          Air filters are tested and classified on how efficiently they capture PM</w:t>
      </w:r>
      <w:r w:rsidRPr="00FC6DB4">
        <w:rPr>
          <w:sz w:val="22"/>
          <w:szCs w:val="22"/>
          <w:vertAlign w:val="subscript"/>
        </w:rPr>
        <w:t>10</w:t>
      </w:r>
      <w:r w:rsidRPr="00FC6DB4">
        <w:rPr>
          <w:sz w:val="22"/>
          <w:szCs w:val="22"/>
        </w:rPr>
        <w:t>, PM</w:t>
      </w:r>
      <w:r w:rsidRPr="00FC6DB4">
        <w:rPr>
          <w:sz w:val="22"/>
          <w:szCs w:val="22"/>
          <w:vertAlign w:val="subscript"/>
        </w:rPr>
        <w:t xml:space="preserve">2.5 </w:t>
      </w:r>
      <w:r w:rsidRPr="00FC6DB4">
        <w:rPr>
          <w:sz w:val="22"/>
          <w:szCs w:val="22"/>
        </w:rPr>
        <w:t>and PM</w:t>
      </w:r>
      <w:r w:rsidRPr="00FC6DB4">
        <w:rPr>
          <w:sz w:val="22"/>
          <w:szCs w:val="22"/>
          <w:vertAlign w:val="subscript"/>
        </w:rPr>
        <w:t>1</w:t>
      </w:r>
      <w:r w:rsidRPr="00FC6DB4">
        <w:rPr>
          <w:sz w:val="22"/>
          <w:szCs w:val="22"/>
        </w:rPr>
        <w:t xml:space="preserve"> particles</w:t>
      </w:r>
    </w:p>
    <w:p w:rsidR="00FC6DB4" w:rsidRPr="00FC6DB4" w:rsidRDefault="00FC6DB4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 xml:space="preserve">                </w:t>
      </w:r>
      <w:proofErr w:type="spellStart"/>
      <w:r w:rsidRPr="00FC6DB4">
        <w:rPr>
          <w:sz w:val="22"/>
          <w:szCs w:val="22"/>
        </w:rPr>
        <w:t>ePM</w:t>
      </w:r>
      <w:proofErr w:type="spellEnd"/>
      <w:r w:rsidRPr="00FC6DB4">
        <w:rPr>
          <w:sz w:val="22"/>
          <w:szCs w:val="22"/>
        </w:rPr>
        <w:t xml:space="preserve"> Coarse                       captures less than 50% of PM</w:t>
      </w:r>
      <w:r w:rsidRPr="00FC6DB4">
        <w:rPr>
          <w:sz w:val="22"/>
          <w:szCs w:val="22"/>
          <w:vertAlign w:val="subscript"/>
        </w:rPr>
        <w:t>10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ePM</w:t>
      </w:r>
      <w:r w:rsidRPr="00FC6DB4">
        <w:rPr>
          <w:sz w:val="22"/>
          <w:szCs w:val="22"/>
          <w:vertAlign w:val="subscript"/>
        </w:rPr>
        <w:t>10</w:t>
      </w:r>
      <w:r w:rsidRPr="00FC6DB4">
        <w:rPr>
          <w:sz w:val="22"/>
          <w:szCs w:val="22"/>
        </w:rPr>
        <w:t xml:space="preserve">                                 captures more </w:t>
      </w:r>
      <w:proofErr w:type="spellStart"/>
      <w:r w:rsidRPr="00FC6DB4">
        <w:rPr>
          <w:sz w:val="22"/>
          <w:szCs w:val="22"/>
        </w:rPr>
        <w:t>then</w:t>
      </w:r>
      <w:proofErr w:type="spellEnd"/>
      <w:r w:rsidRPr="00FC6DB4">
        <w:rPr>
          <w:sz w:val="22"/>
          <w:szCs w:val="22"/>
        </w:rPr>
        <w:t xml:space="preserve"> 50% of PM</w:t>
      </w:r>
      <w:r w:rsidRPr="00FC6DB4">
        <w:rPr>
          <w:sz w:val="22"/>
          <w:szCs w:val="22"/>
          <w:vertAlign w:val="subscript"/>
        </w:rPr>
        <w:t>10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  <w:vertAlign w:val="subscript"/>
        </w:rPr>
      </w:pPr>
      <w:r w:rsidRPr="00FC6DB4">
        <w:rPr>
          <w:sz w:val="22"/>
          <w:szCs w:val="22"/>
        </w:rPr>
        <w:t>                ePM</w:t>
      </w:r>
      <w:r w:rsidRPr="00FC6DB4">
        <w:rPr>
          <w:sz w:val="22"/>
          <w:szCs w:val="22"/>
          <w:vertAlign w:val="subscript"/>
        </w:rPr>
        <w:t>2.5</w:t>
      </w:r>
      <w:r w:rsidRPr="00FC6DB4">
        <w:rPr>
          <w:sz w:val="22"/>
          <w:szCs w:val="22"/>
        </w:rPr>
        <w:t>                                captures more than 50% of PM</w:t>
      </w:r>
      <w:r w:rsidRPr="00FC6DB4">
        <w:rPr>
          <w:sz w:val="22"/>
          <w:szCs w:val="22"/>
          <w:vertAlign w:val="subscript"/>
        </w:rPr>
        <w:t>2.5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ePM</w:t>
      </w:r>
      <w:r w:rsidRPr="00FC6DB4">
        <w:rPr>
          <w:sz w:val="22"/>
          <w:szCs w:val="22"/>
          <w:vertAlign w:val="subscript"/>
        </w:rPr>
        <w:t>1</w:t>
      </w:r>
      <w:r w:rsidRPr="00FC6DB4">
        <w:rPr>
          <w:sz w:val="22"/>
          <w:szCs w:val="22"/>
        </w:rPr>
        <w:t>                                  captures more than 50% of PM</w:t>
      </w:r>
      <w:r w:rsidRPr="00FC6DB4">
        <w:rPr>
          <w:sz w:val="22"/>
          <w:szCs w:val="22"/>
          <w:vertAlign w:val="subscript"/>
        </w:rPr>
        <w:t>1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NOTE: Different sources of information may express the particle ranges and filter classes differently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e.g. PM10 can be read as PM</w:t>
      </w:r>
      <w:r w:rsidRPr="00FC6DB4">
        <w:rPr>
          <w:sz w:val="22"/>
          <w:szCs w:val="22"/>
          <w:vertAlign w:val="subscript"/>
        </w:rPr>
        <w:t>10</w:t>
      </w:r>
      <w:r w:rsidRPr="00FC6DB4">
        <w:rPr>
          <w:sz w:val="22"/>
          <w:szCs w:val="22"/>
        </w:rPr>
        <w:t>; ePM</w:t>
      </w:r>
      <w:r w:rsidRPr="00FC6DB4">
        <w:rPr>
          <w:sz w:val="22"/>
          <w:szCs w:val="22"/>
          <w:vertAlign w:val="subscript"/>
        </w:rPr>
        <w:t xml:space="preserve">2.5 </w:t>
      </w:r>
      <w:r w:rsidRPr="00FC6DB4">
        <w:rPr>
          <w:sz w:val="22"/>
          <w:szCs w:val="22"/>
        </w:rPr>
        <w:t>can be read ePM2.5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 xml:space="preserve">2.2          For each classification (except </w:t>
      </w:r>
      <w:proofErr w:type="spellStart"/>
      <w:r w:rsidRPr="00FC6DB4">
        <w:rPr>
          <w:sz w:val="22"/>
          <w:szCs w:val="22"/>
        </w:rPr>
        <w:t>ePM</w:t>
      </w:r>
      <w:proofErr w:type="spellEnd"/>
      <w:r w:rsidRPr="00FC6DB4">
        <w:rPr>
          <w:sz w:val="22"/>
          <w:szCs w:val="22"/>
        </w:rPr>
        <w:t xml:space="preserve"> Coarse), the filter captures at least 50% of the appropriate size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 xml:space="preserve">                e.g. if a filter captures more </w:t>
      </w:r>
      <w:r w:rsidR="0035136B" w:rsidRPr="00FC6DB4">
        <w:rPr>
          <w:sz w:val="22"/>
          <w:szCs w:val="22"/>
        </w:rPr>
        <w:t>than</w:t>
      </w:r>
      <w:r w:rsidRPr="00FC6DB4">
        <w:rPr>
          <w:sz w:val="22"/>
          <w:szCs w:val="22"/>
        </w:rPr>
        <w:t xml:space="preserve"> 50% of PM</w:t>
      </w:r>
      <w:r w:rsidRPr="00FC6DB4">
        <w:rPr>
          <w:sz w:val="22"/>
          <w:szCs w:val="22"/>
          <w:vertAlign w:val="subscript"/>
        </w:rPr>
        <w:t>1</w:t>
      </w:r>
      <w:r w:rsidRPr="00FC6DB4">
        <w:rPr>
          <w:sz w:val="22"/>
          <w:szCs w:val="22"/>
        </w:rPr>
        <w:t xml:space="preserve"> particles, it is classified as an ISO ePM</w:t>
      </w:r>
      <w:r w:rsidRPr="00FC6DB4">
        <w:rPr>
          <w:sz w:val="22"/>
          <w:szCs w:val="22"/>
          <w:vertAlign w:val="subscript"/>
        </w:rPr>
        <w:t>1</w:t>
      </w:r>
      <w:r w:rsidRPr="00FC6DB4">
        <w:rPr>
          <w:sz w:val="22"/>
          <w:szCs w:val="22"/>
        </w:rPr>
        <w:t xml:space="preserve"> filter.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2.3          The classification should also include the percentage of particles captured, rounded down to the</w:t>
      </w:r>
      <w:r w:rsidR="00FC6DB4" w:rsidRPr="00FC6DB4">
        <w:rPr>
          <w:sz w:val="22"/>
          <w:szCs w:val="22"/>
        </w:rPr>
        <w:t xml:space="preserve"> </w:t>
      </w:r>
      <w:r w:rsidRPr="00FC6DB4">
        <w:rPr>
          <w:sz w:val="22"/>
          <w:szCs w:val="22"/>
        </w:rPr>
        <w:t>nearest 5% increment. e.g. if a filter is tested with the following results</w:t>
      </w:r>
    </w:p>
    <w:p w:rsidR="00FC6DB4" w:rsidRPr="00FC6DB4" w:rsidRDefault="00FC6DB4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ISO ePM10                                                  89%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                ISO ePM2.5                                                63%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lastRenderedPageBreak/>
        <w:t>                ISO ePM1                                                    49%</w:t>
      </w:r>
    </w:p>
    <w:p w:rsidR="008E4E99" w:rsidRPr="00FC6DB4" w:rsidRDefault="00FC6DB4" w:rsidP="008E4E99">
      <w:pPr>
        <w:pStyle w:val="Header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="008E4E99" w:rsidRPr="00FC6DB4">
        <w:rPr>
          <w:sz w:val="22"/>
          <w:szCs w:val="22"/>
        </w:rPr>
        <w:t>he filter is classified as ISO ePM2.5 60% (since it captures at least 50% of PM2.5 particles).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b/>
          <w:bCs/>
          <w:sz w:val="22"/>
          <w:szCs w:val="22"/>
        </w:rPr>
      </w:pPr>
      <w:r w:rsidRPr="00FC6DB4">
        <w:rPr>
          <w:b/>
          <w:bCs/>
          <w:sz w:val="22"/>
          <w:szCs w:val="22"/>
        </w:rPr>
        <w:t>3.0       Comparison with EN779 Classification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 xml:space="preserve">3.1          There is no direct comparison or conversion between </w:t>
      </w:r>
      <w:r w:rsidR="00793BE1" w:rsidRPr="00FC6DB4">
        <w:rPr>
          <w:sz w:val="22"/>
          <w:szCs w:val="22"/>
        </w:rPr>
        <w:t xml:space="preserve">BS </w:t>
      </w:r>
      <w:r w:rsidRPr="00FC6DB4">
        <w:rPr>
          <w:sz w:val="22"/>
          <w:szCs w:val="22"/>
        </w:rPr>
        <w:t>EN</w:t>
      </w:r>
      <w:r w:rsidR="00793BE1" w:rsidRPr="00FC6DB4">
        <w:rPr>
          <w:sz w:val="22"/>
          <w:szCs w:val="22"/>
        </w:rPr>
        <w:t xml:space="preserve"> </w:t>
      </w:r>
      <w:r w:rsidRPr="00FC6DB4">
        <w:rPr>
          <w:sz w:val="22"/>
          <w:szCs w:val="22"/>
        </w:rPr>
        <w:t xml:space="preserve">779 and </w:t>
      </w:r>
      <w:r w:rsidR="00793BE1" w:rsidRPr="00FC6DB4">
        <w:rPr>
          <w:sz w:val="22"/>
          <w:szCs w:val="22"/>
        </w:rPr>
        <w:t xml:space="preserve">BS EN </w:t>
      </w:r>
      <w:r w:rsidRPr="00FC6DB4">
        <w:rPr>
          <w:sz w:val="22"/>
          <w:szCs w:val="22"/>
        </w:rPr>
        <w:t>ISO</w:t>
      </w:r>
      <w:r w:rsidR="00793BE1" w:rsidRPr="00FC6DB4">
        <w:rPr>
          <w:sz w:val="22"/>
          <w:szCs w:val="22"/>
        </w:rPr>
        <w:t xml:space="preserve"> </w:t>
      </w:r>
      <w:r w:rsidRPr="00FC6DB4">
        <w:rPr>
          <w:sz w:val="22"/>
          <w:szCs w:val="22"/>
        </w:rPr>
        <w:t>16890 classification</w:t>
      </w:r>
      <w:r w:rsidR="00793BE1" w:rsidRPr="00FC6DB4">
        <w:rPr>
          <w:sz w:val="22"/>
          <w:szCs w:val="22"/>
        </w:rPr>
        <w:t>s</w:t>
      </w:r>
      <w:r w:rsidRPr="00FC6DB4">
        <w:rPr>
          <w:sz w:val="22"/>
          <w:szCs w:val="22"/>
        </w:rPr>
        <w:t xml:space="preserve"> because the measurement</w:t>
      </w:r>
      <w:r w:rsidR="00793BE1" w:rsidRPr="00FC6DB4">
        <w:rPr>
          <w:sz w:val="22"/>
          <w:szCs w:val="22"/>
        </w:rPr>
        <w:t>,</w:t>
      </w:r>
      <w:r w:rsidRPr="00FC6DB4">
        <w:rPr>
          <w:sz w:val="22"/>
          <w:szCs w:val="22"/>
        </w:rPr>
        <w:t xml:space="preserve"> assessment </w:t>
      </w:r>
      <w:r w:rsidR="00793BE1" w:rsidRPr="00FC6DB4">
        <w:rPr>
          <w:sz w:val="22"/>
          <w:szCs w:val="22"/>
        </w:rPr>
        <w:t>and classification</w:t>
      </w:r>
      <w:r w:rsidR="001F7425" w:rsidRPr="00FC6DB4">
        <w:rPr>
          <w:sz w:val="22"/>
          <w:szCs w:val="22"/>
        </w:rPr>
        <w:t xml:space="preserve"> </w:t>
      </w:r>
      <w:r w:rsidRPr="00FC6DB4">
        <w:rPr>
          <w:sz w:val="22"/>
          <w:szCs w:val="22"/>
        </w:rPr>
        <w:t>methods are different.</w:t>
      </w: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</w:p>
    <w:p w:rsidR="008E4E99" w:rsidRPr="00FC6DB4" w:rsidRDefault="008E4E99" w:rsidP="008E4E99">
      <w:pPr>
        <w:pStyle w:val="Header"/>
        <w:jc w:val="left"/>
        <w:rPr>
          <w:sz w:val="22"/>
          <w:szCs w:val="22"/>
        </w:rPr>
      </w:pPr>
      <w:r w:rsidRPr="00FC6DB4">
        <w:rPr>
          <w:sz w:val="22"/>
          <w:szCs w:val="22"/>
        </w:rPr>
        <w:t>3.2          The table below is for guidance only and is an estimate or subjective assessment of equivalent filter classifications.</w:t>
      </w:r>
    </w:p>
    <w:p w:rsidR="008E4E99" w:rsidRPr="00FC6DB4" w:rsidRDefault="008E4E99" w:rsidP="008E4E99">
      <w:pPr>
        <w:pStyle w:val="Header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261"/>
        <w:gridCol w:w="4054"/>
      </w:tblGrid>
      <w:tr w:rsidR="008E4E99" w:rsidRPr="00FC6DB4" w:rsidTr="008E4E99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cent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EN779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cent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ISO1690 Classification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cent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Alternative ISO 16890 Classification</w:t>
            </w:r>
          </w:p>
        </w:tc>
      </w:tr>
      <w:tr w:rsidR="008E4E99" w:rsidRPr="00FC6DB4" w:rsidTr="008E4E9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G2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</w:p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ISO Coarse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Coarse 30 %</w:t>
            </w:r>
          </w:p>
        </w:tc>
      </w:tr>
      <w:tr w:rsidR="008E4E99" w:rsidRPr="00FC6DB4" w:rsidTr="008E4E9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E99" w:rsidRPr="00FC6DB4" w:rsidRDefault="008E4E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Coarse 45 %</w:t>
            </w:r>
          </w:p>
        </w:tc>
      </w:tr>
      <w:tr w:rsidR="008E4E99" w:rsidRPr="00FC6DB4" w:rsidTr="00FC6DB4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G4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E99" w:rsidRPr="00FC6DB4" w:rsidRDefault="008E4E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 xml:space="preserve">Coarse </w:t>
            </w:r>
            <w:r w:rsidR="00FC6DB4" w:rsidRPr="00FC6DB4">
              <w:rPr>
                <w:sz w:val="22"/>
                <w:szCs w:val="22"/>
                <w:lang w:val="en-US"/>
              </w:rPr>
              <w:t>7</w:t>
            </w:r>
            <w:r w:rsidRPr="00FC6DB4">
              <w:rPr>
                <w:sz w:val="22"/>
                <w:szCs w:val="22"/>
                <w:lang w:val="en-US"/>
              </w:rPr>
              <w:t>0 %</w:t>
            </w:r>
          </w:p>
        </w:tc>
      </w:tr>
      <w:tr w:rsidR="008E4E99" w:rsidRPr="00FC6DB4" w:rsidTr="00FC6DB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M5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ISO ePM10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ePM10 50%</w:t>
            </w:r>
          </w:p>
        </w:tc>
      </w:tr>
      <w:tr w:rsidR="008E4E99" w:rsidRPr="00FC6DB4" w:rsidTr="00FC6DB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M6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E99" w:rsidRPr="00FC6DB4" w:rsidRDefault="008E4E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ePM10 60% or ePM2.5 50%</w:t>
            </w:r>
          </w:p>
        </w:tc>
      </w:tr>
      <w:tr w:rsidR="008E4E99" w:rsidRPr="00FC6DB4" w:rsidTr="00FC6DB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F7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ISO ePM2.5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ePM2.5 65% or ePM1 50%</w:t>
            </w:r>
          </w:p>
        </w:tc>
      </w:tr>
      <w:tr w:rsidR="008E4E99" w:rsidRPr="00FC6DB4" w:rsidTr="00FC6DB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F8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E99" w:rsidRPr="00FC6DB4" w:rsidRDefault="008E4E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ePM2.5 80% or ePM1 65%</w:t>
            </w:r>
          </w:p>
        </w:tc>
      </w:tr>
      <w:tr w:rsidR="008E4E99" w:rsidRPr="00FC6DB4" w:rsidTr="00FC6DB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 w:rsidP="008E4E99">
            <w:pPr>
              <w:pStyle w:val="Header"/>
              <w:jc w:val="left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F9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ISO ePM1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E99" w:rsidRPr="00FC6DB4" w:rsidRDefault="008E4E99">
            <w:pPr>
              <w:pStyle w:val="Header"/>
              <w:rPr>
                <w:sz w:val="22"/>
                <w:szCs w:val="22"/>
                <w:lang w:val="en-US"/>
              </w:rPr>
            </w:pPr>
            <w:r w:rsidRPr="00FC6DB4">
              <w:rPr>
                <w:sz w:val="22"/>
                <w:szCs w:val="22"/>
                <w:lang w:val="en-US"/>
              </w:rPr>
              <w:t>ePM1 80%</w:t>
            </w:r>
          </w:p>
        </w:tc>
      </w:tr>
    </w:tbl>
    <w:p w:rsidR="008E4E99" w:rsidRPr="00FC6DB4" w:rsidRDefault="008E4E99" w:rsidP="008E4E99">
      <w:pPr>
        <w:pStyle w:val="Header"/>
        <w:rPr>
          <w:sz w:val="22"/>
          <w:szCs w:val="22"/>
        </w:rPr>
      </w:pPr>
    </w:p>
    <w:p w:rsidR="008E4E99" w:rsidRPr="00FC6DB4" w:rsidRDefault="00FC6DB4" w:rsidP="008E4E99">
      <w:pPr>
        <w:rPr>
          <w:rFonts w:ascii="Arial" w:hAnsi="Arial" w:cs="Arial"/>
          <w:lang w:val="en-US"/>
        </w:rPr>
      </w:pPr>
      <w:r w:rsidRPr="00FC6DB4">
        <w:rPr>
          <w:rFonts w:ascii="Arial" w:hAnsi="Arial" w:cs="Arial"/>
          <w:lang w:val="en-US"/>
        </w:rPr>
        <w:t>3.3</w:t>
      </w:r>
      <w:r w:rsidRPr="00FC6DB4">
        <w:rPr>
          <w:rFonts w:ascii="Arial" w:hAnsi="Arial" w:cs="Arial"/>
          <w:lang w:val="en-US"/>
        </w:rPr>
        <w:tab/>
        <w:t xml:space="preserve">For the future, </w:t>
      </w:r>
      <w:r>
        <w:rPr>
          <w:rFonts w:ascii="Arial" w:hAnsi="Arial" w:cs="Arial"/>
          <w:lang w:val="en-US"/>
        </w:rPr>
        <w:t>filter classification</w:t>
      </w:r>
      <w:r w:rsidR="00FA2E6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Pr="00FC6DB4">
        <w:rPr>
          <w:rFonts w:ascii="Arial" w:hAnsi="Arial" w:cs="Arial"/>
          <w:lang w:val="en-US"/>
        </w:rPr>
        <w:t xml:space="preserve">should only </w:t>
      </w:r>
      <w:r w:rsidR="0035136B">
        <w:rPr>
          <w:rFonts w:ascii="Arial" w:hAnsi="Arial" w:cs="Arial"/>
          <w:lang w:val="en-US"/>
        </w:rPr>
        <w:t xml:space="preserve">referenced </w:t>
      </w:r>
      <w:bookmarkStart w:id="0" w:name="_GoBack"/>
      <w:bookmarkEnd w:id="0"/>
      <w:r w:rsidRPr="00FC6DB4">
        <w:rPr>
          <w:rFonts w:ascii="Arial" w:hAnsi="Arial" w:cs="Arial"/>
          <w:lang w:val="en-US"/>
        </w:rPr>
        <w:t>to BS EN ISO 16890:2016</w:t>
      </w:r>
    </w:p>
    <w:sectPr w:rsidR="008E4E99" w:rsidRPr="00FC6DB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B4" w:rsidRDefault="00FC6DB4" w:rsidP="00FC6DB4">
      <w:pPr>
        <w:spacing w:after="0" w:line="240" w:lineRule="auto"/>
      </w:pPr>
      <w:r>
        <w:separator/>
      </w:r>
    </w:p>
  </w:endnote>
  <w:endnote w:type="continuationSeparator" w:id="0">
    <w:p w:rsidR="00FC6DB4" w:rsidRDefault="00FC6DB4" w:rsidP="00F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B4" w:rsidRDefault="00FC6DB4">
    <w:pPr>
      <w:pStyle w:val="Footer"/>
    </w:pPr>
    <w:r>
      <w:t>27 November 2019</w:t>
    </w:r>
  </w:p>
  <w:p w:rsidR="00FC6DB4" w:rsidRDefault="00FC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B4" w:rsidRDefault="00FC6DB4" w:rsidP="00FC6DB4">
      <w:pPr>
        <w:spacing w:after="0" w:line="240" w:lineRule="auto"/>
      </w:pPr>
      <w:r>
        <w:separator/>
      </w:r>
    </w:p>
  </w:footnote>
  <w:footnote w:type="continuationSeparator" w:id="0">
    <w:p w:rsidR="00FC6DB4" w:rsidRDefault="00FC6DB4" w:rsidP="00FC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99"/>
    <w:rsid w:val="00090181"/>
    <w:rsid w:val="001F7425"/>
    <w:rsid w:val="0035136B"/>
    <w:rsid w:val="003B0A2B"/>
    <w:rsid w:val="00456F06"/>
    <w:rsid w:val="004F4E4C"/>
    <w:rsid w:val="005549FF"/>
    <w:rsid w:val="00793BE1"/>
    <w:rsid w:val="008E4E99"/>
    <w:rsid w:val="00FA2E65"/>
    <w:rsid w:val="00FA472E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9312"/>
  <w15:chartTrackingRefBased/>
  <w15:docId w15:val="{696DEDDA-6D09-4265-A44C-C33DB135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99"/>
    <w:pPr>
      <w:overflowPunct w:val="0"/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4E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Trewhitt</dc:creator>
  <cp:keywords/>
  <dc:description/>
  <cp:lastModifiedBy>Barry Trewhitt</cp:lastModifiedBy>
  <cp:revision>3</cp:revision>
  <dcterms:created xsi:type="dcterms:W3CDTF">2019-11-21T10:52:00Z</dcterms:created>
  <dcterms:modified xsi:type="dcterms:W3CDTF">2019-11-21T11:46:00Z</dcterms:modified>
</cp:coreProperties>
</file>